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5BA" w:rsidRPr="00B962B7" w:rsidRDefault="00AB1C3B" w:rsidP="00B962B7">
      <w:pPr>
        <w:jc w:val="both"/>
        <w:rPr>
          <w:b/>
          <w:bCs/>
        </w:rPr>
      </w:pPr>
      <w:r w:rsidRPr="00B962B7">
        <w:rPr>
          <w:b/>
          <w:bCs/>
        </w:rPr>
        <w:t>Lezione 3 – Il valore dell’Ambiente</w:t>
      </w:r>
    </w:p>
    <w:p w:rsidR="00AB1C3B" w:rsidRDefault="00AB1C3B" w:rsidP="00B962B7">
      <w:pPr>
        <w:jc w:val="both"/>
      </w:pPr>
    </w:p>
    <w:p w:rsidR="00AB1C3B" w:rsidRDefault="00AB1C3B" w:rsidP="00B962B7">
      <w:pPr>
        <w:jc w:val="both"/>
      </w:pPr>
      <w:r>
        <w:t>La valutazione economica ha una lunga storia (</w:t>
      </w:r>
      <w:proofErr w:type="spellStart"/>
      <w:r>
        <w:t>Gómez-Baggethun</w:t>
      </w:r>
      <w:proofErr w:type="spellEnd"/>
      <w:r>
        <w:t xml:space="preserve"> et al. 2010) con radici nell'economia </w:t>
      </w:r>
      <w:proofErr w:type="spellStart"/>
      <w:proofErr w:type="gramStart"/>
      <w:r>
        <w:t>pre</w:t>
      </w:r>
      <w:proofErr w:type="spellEnd"/>
      <w:r>
        <w:t>-classica</w:t>
      </w:r>
      <w:proofErr w:type="gramEnd"/>
      <w:r>
        <w:t xml:space="preserve"> (1650-1750), quando la "terra" era centrale nella teoria economica come fonte primaria di ricchezza (</w:t>
      </w:r>
      <w:proofErr w:type="spellStart"/>
      <w:r>
        <w:t>Petty</w:t>
      </w:r>
      <w:proofErr w:type="spellEnd"/>
      <w:r>
        <w:t xml:space="preserve"> 1664). Durante l'economia classica (1750-1875), l'importanza dei servizi della natura fu ampiamente riconosciuta (Malthus 1853; </w:t>
      </w:r>
      <w:proofErr w:type="spellStart"/>
      <w:r>
        <w:t>Marx</w:t>
      </w:r>
      <w:proofErr w:type="spellEnd"/>
      <w:r>
        <w:t xml:space="preserve"> 1887), sebbene l'ecologia non esistesse come disciplina fino alla fine del 1800 e il concetto di "ecosistema" non fu introdotto fino a </w:t>
      </w:r>
      <w:proofErr w:type="spellStart"/>
      <w:r>
        <w:t>Tansley</w:t>
      </w:r>
      <w:proofErr w:type="spellEnd"/>
      <w:r>
        <w:t xml:space="preserve"> </w:t>
      </w:r>
      <w:proofErr w:type="gramStart"/>
      <w:r>
        <w:t>( 1935</w:t>
      </w:r>
      <w:proofErr w:type="gramEnd"/>
      <w:r>
        <w:t>). Dopo la rivoluzione industriale, il significato dell'ambiente è scemato nella teoria economica neoclassica (dal 1875 in poi) con attenzione focalizzata sul capitale e sul lavoro creati dall'uomo.</w:t>
      </w:r>
    </w:p>
    <w:p w:rsidR="00AB1C3B" w:rsidRDefault="00AB1C3B" w:rsidP="00B962B7">
      <w:pPr>
        <w:jc w:val="both"/>
      </w:pPr>
      <w:r>
        <w:t>Il ventesimo secolo v</w:t>
      </w:r>
      <w:r w:rsidR="00AF4C86">
        <w:t>e</w:t>
      </w:r>
      <w:r>
        <w:t xml:space="preserve">de un rinnovato interesse per gli impatti ambientali dell'attività economica e per la dipendenza dell'economia e del benessere umano da sistemi naturali sani. </w:t>
      </w:r>
      <w:proofErr w:type="spellStart"/>
      <w:r>
        <w:t>Pigou</w:t>
      </w:r>
      <w:proofErr w:type="spellEnd"/>
      <w:r>
        <w:t xml:space="preserve"> (1920) introdusse l'economia del benessere e il concetto di esternalità, portando allo sviluppo dell'economia ambientale e alle basi della valutazione economica (in particolare </w:t>
      </w:r>
      <w:proofErr w:type="spellStart"/>
      <w:r>
        <w:t>Hicks</w:t>
      </w:r>
      <w:proofErr w:type="spellEnd"/>
      <w:r>
        <w:t xml:space="preserve"> 1939, 1943; </w:t>
      </w:r>
      <w:proofErr w:type="spellStart"/>
      <w:r>
        <w:t>Hotelling</w:t>
      </w:r>
      <w:proofErr w:type="spellEnd"/>
      <w:r>
        <w:t xml:space="preserve"> 1947; vedi </w:t>
      </w:r>
      <w:proofErr w:type="spellStart"/>
      <w:r>
        <w:t>Pearce</w:t>
      </w:r>
      <w:proofErr w:type="spellEnd"/>
      <w:r>
        <w:t xml:space="preserve"> 2002).</w:t>
      </w:r>
    </w:p>
    <w:p w:rsidR="00AB1C3B" w:rsidRDefault="00AB1C3B" w:rsidP="00B962B7">
      <w:pPr>
        <w:jc w:val="both"/>
      </w:pPr>
      <w:r>
        <w:t xml:space="preserve">Le prime importanti applicazioni arrivarono negli anni '60, con la valutazione delle risorse ambientali alla base della nuova legislazione negli Stati Uniti, in particolare gli Atti </w:t>
      </w:r>
      <w:proofErr w:type="spellStart"/>
      <w:r>
        <w:t>Clean</w:t>
      </w:r>
      <w:proofErr w:type="spellEnd"/>
      <w:r>
        <w:t xml:space="preserve"> Air (1963) e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Waters</w:t>
      </w:r>
      <w:proofErr w:type="spellEnd"/>
      <w:r>
        <w:t xml:space="preserve"> (1972). I primi esempi dei metodi includevano </w:t>
      </w:r>
      <w:proofErr w:type="spellStart"/>
      <w:r>
        <w:t>Clawson</w:t>
      </w:r>
      <w:proofErr w:type="spellEnd"/>
      <w:r>
        <w:t xml:space="preserve"> (1959), Davis (1963), </w:t>
      </w:r>
      <w:proofErr w:type="spellStart"/>
      <w:r>
        <w:t>Clawson</w:t>
      </w:r>
      <w:proofErr w:type="spellEnd"/>
      <w:r>
        <w:t xml:space="preserve"> e</w:t>
      </w:r>
      <w:r w:rsidR="00AF4C86">
        <w:t xml:space="preserve"> </w:t>
      </w:r>
      <w:proofErr w:type="spellStart"/>
      <w:r>
        <w:t>Knetsch</w:t>
      </w:r>
      <w:proofErr w:type="spellEnd"/>
      <w:r>
        <w:t xml:space="preserve"> (1966) e </w:t>
      </w:r>
      <w:proofErr w:type="spellStart"/>
      <w:r>
        <w:t>Ridker</w:t>
      </w:r>
      <w:proofErr w:type="spellEnd"/>
      <w:r>
        <w:t xml:space="preserve"> (1967). Lo sviluppo e l'applicazione della valutazione economica sono continuati negli anni '70 e '80, ad esempio con la progressione da modelli di costo di viaggio zonali a singoli viaggi (</w:t>
      </w:r>
      <w:proofErr w:type="spellStart"/>
      <w:r>
        <w:t>Brown</w:t>
      </w:r>
      <w:proofErr w:type="spellEnd"/>
      <w:r>
        <w:t xml:space="preserve"> e </w:t>
      </w:r>
      <w:proofErr w:type="spellStart"/>
      <w:r>
        <w:t>Nawas</w:t>
      </w:r>
      <w:proofErr w:type="spellEnd"/>
      <w:r>
        <w:t xml:space="preserve"> 1973; </w:t>
      </w:r>
      <w:proofErr w:type="spellStart"/>
      <w:r>
        <w:t>Gum</w:t>
      </w:r>
      <w:proofErr w:type="spellEnd"/>
      <w:r>
        <w:t xml:space="preserve"> e Martin 1975) e lo sviluppo di valutazione contingente (ad esempio Randall, </w:t>
      </w:r>
      <w:proofErr w:type="spellStart"/>
      <w:r>
        <w:t>Ives</w:t>
      </w:r>
      <w:proofErr w:type="spellEnd"/>
      <w:r>
        <w:t xml:space="preserve"> e </w:t>
      </w:r>
      <w:proofErr w:type="spellStart"/>
      <w:r>
        <w:t>Eastman</w:t>
      </w:r>
      <w:proofErr w:type="spellEnd"/>
      <w:r>
        <w:t xml:space="preserve"> 1974) e la sua successiva adozione negli Stati Uniti come mezzo per stimare i danni alle risorse ambientali (</w:t>
      </w:r>
      <w:proofErr w:type="spellStart"/>
      <w:r>
        <w:t>Cummings</w:t>
      </w:r>
      <w:proofErr w:type="spellEnd"/>
      <w:r>
        <w:t xml:space="preserve">, </w:t>
      </w:r>
      <w:proofErr w:type="spellStart"/>
      <w:r>
        <w:t>Brookshire</w:t>
      </w:r>
      <w:proofErr w:type="spellEnd"/>
      <w:r>
        <w:t xml:space="preserve"> e </w:t>
      </w:r>
      <w:proofErr w:type="spellStart"/>
      <w:r>
        <w:t>Schulze</w:t>
      </w:r>
      <w:proofErr w:type="spellEnd"/>
      <w:r>
        <w:t xml:space="preserve"> 1986; Mitchell e Carson 1989). Nel Regno Unito, "</w:t>
      </w:r>
      <w:proofErr w:type="spellStart"/>
      <w:r>
        <w:t>Blueprint</w:t>
      </w:r>
      <w:proofErr w:type="spellEnd"/>
      <w:r>
        <w:t xml:space="preserve"> for a Green Economy" (</w:t>
      </w:r>
      <w:proofErr w:type="spellStart"/>
      <w:r>
        <w:t>Pearce</w:t>
      </w:r>
      <w:proofErr w:type="spellEnd"/>
      <w:r>
        <w:t xml:space="preserve">, </w:t>
      </w:r>
      <w:proofErr w:type="spellStart"/>
      <w:r>
        <w:t>Anil</w:t>
      </w:r>
      <w:proofErr w:type="spellEnd"/>
      <w:r>
        <w:t xml:space="preserve"> </w:t>
      </w:r>
      <w:proofErr w:type="spellStart"/>
      <w:r>
        <w:t>Markandya</w:t>
      </w:r>
      <w:proofErr w:type="spellEnd"/>
      <w:r>
        <w:t xml:space="preserve"> e </w:t>
      </w:r>
      <w:proofErr w:type="spellStart"/>
      <w:r>
        <w:t>Barbier</w:t>
      </w:r>
      <w:proofErr w:type="spellEnd"/>
      <w:r>
        <w:t xml:space="preserve"> 1989) e il seguente Libro bianco ("Questa eredità comune": HMSO 1990)</w:t>
      </w:r>
      <w:r w:rsidR="00AF4C86">
        <w:t xml:space="preserve"> </w:t>
      </w:r>
      <w:r>
        <w:t>ha cercato l'inclusione formale degli impatti ambientali nella valutazione delle politiche.</w:t>
      </w:r>
    </w:p>
    <w:p w:rsidR="00AB1C3B" w:rsidRDefault="00AB1C3B" w:rsidP="00B962B7">
      <w:pPr>
        <w:jc w:val="both"/>
      </w:pPr>
      <w:r>
        <w:t>Gli anni '90 hanno portato al perfezionamento continuo dei metodi di valutazione, ad esempio attraverso l'introduzione di esperimenti di scelta discreta e modelli di utilità casuali in studi di preferenza dichiarati e rivelati (</w:t>
      </w:r>
      <w:proofErr w:type="spellStart"/>
      <w:r>
        <w:t>Adamowicz</w:t>
      </w:r>
      <w:proofErr w:type="spellEnd"/>
      <w:r>
        <w:t xml:space="preserve">, </w:t>
      </w:r>
      <w:proofErr w:type="spellStart"/>
      <w:r>
        <w:t>Louviere</w:t>
      </w:r>
      <w:proofErr w:type="spellEnd"/>
      <w:r>
        <w:t xml:space="preserve"> e Williams 1994; </w:t>
      </w:r>
      <w:proofErr w:type="spellStart"/>
      <w:r>
        <w:t>Boxall</w:t>
      </w:r>
      <w:proofErr w:type="spellEnd"/>
      <w:r>
        <w:t xml:space="preserve"> et al. 1996; </w:t>
      </w:r>
      <w:proofErr w:type="spellStart"/>
      <w:r>
        <w:t>Hanley</w:t>
      </w:r>
      <w:proofErr w:type="spellEnd"/>
      <w:r>
        <w:t xml:space="preserve">, Wright e </w:t>
      </w:r>
      <w:proofErr w:type="spellStart"/>
      <w:r>
        <w:t>Adamowicz</w:t>
      </w:r>
      <w:proofErr w:type="spellEnd"/>
      <w:r>
        <w:t xml:space="preserve"> </w:t>
      </w:r>
      <w:proofErr w:type="gramStart"/>
      <w:r>
        <w:t>1998 )</w:t>
      </w:r>
      <w:proofErr w:type="gramEnd"/>
      <w:r>
        <w:t xml:space="preserve">. </w:t>
      </w:r>
      <w:proofErr w:type="spellStart"/>
      <w:r>
        <w:t>Nordhaus</w:t>
      </w:r>
      <w:proofErr w:type="spellEnd"/>
      <w:r>
        <w:t xml:space="preserve"> (1992, 1993) ha aperto la strada a modelli di valutazione integrata che collegano l'economia globale, l'uso di energia e i cambiamenti climatici, stimando il valore dei danni causati dalla serra</w:t>
      </w:r>
      <w:r w:rsidR="00AF4C86">
        <w:t xml:space="preserve"> </w:t>
      </w:r>
      <w:r>
        <w:t>gas.</w:t>
      </w:r>
    </w:p>
    <w:p w:rsidR="00AB1C3B" w:rsidRDefault="00AB1C3B" w:rsidP="00B962B7">
      <w:pPr>
        <w:jc w:val="both"/>
      </w:pPr>
      <w:r>
        <w:t>Accanto allo sviluppo dell'economia ambientale, voci di dissenso (</w:t>
      </w:r>
      <w:proofErr w:type="spellStart"/>
      <w:r>
        <w:t>Boulding</w:t>
      </w:r>
      <w:proofErr w:type="spellEnd"/>
      <w:r>
        <w:t xml:space="preserve"> e Jarrett 1966; </w:t>
      </w:r>
      <w:proofErr w:type="spellStart"/>
      <w:r>
        <w:t>Meadows</w:t>
      </w:r>
      <w:proofErr w:type="spellEnd"/>
      <w:r>
        <w:t xml:space="preserve"> et al. 1972; </w:t>
      </w:r>
      <w:proofErr w:type="spellStart"/>
      <w:r>
        <w:t>Daly</w:t>
      </w:r>
      <w:proofErr w:type="spellEnd"/>
      <w:r>
        <w:t xml:space="preserve"> 1973) hanno portato alla nascita dell'economia ecologica, trattando l'economia come un sottosistema dell'ecosistema globale, con una maggiore attenzione agli approcci sistemici alla conservazione del capitale naturale, della giustizia e dell'equità e alle questioni di irreversibilità e incertezza (van </w:t>
      </w:r>
      <w:proofErr w:type="spellStart"/>
      <w:r>
        <w:t>den</w:t>
      </w:r>
      <w:proofErr w:type="spellEnd"/>
      <w:r>
        <w:t xml:space="preserve"> </w:t>
      </w:r>
      <w:proofErr w:type="spellStart"/>
      <w:r>
        <w:t>Bergh</w:t>
      </w:r>
      <w:proofErr w:type="spellEnd"/>
      <w:r>
        <w:t xml:space="preserve"> 2001; </w:t>
      </w:r>
      <w:proofErr w:type="spellStart"/>
      <w:r>
        <w:t>Faber</w:t>
      </w:r>
      <w:proofErr w:type="spellEnd"/>
      <w:r>
        <w:t xml:space="preserve"> 2008). "</w:t>
      </w:r>
      <w:proofErr w:type="spellStart"/>
      <w:r>
        <w:t>Donut</w:t>
      </w:r>
      <w:proofErr w:type="spellEnd"/>
      <w:r>
        <w:t xml:space="preserve"> </w:t>
      </w:r>
      <w:proofErr w:type="spellStart"/>
      <w:r>
        <w:t>economics</w:t>
      </w:r>
      <w:proofErr w:type="spellEnd"/>
      <w:r>
        <w:t>" (</w:t>
      </w:r>
      <w:proofErr w:type="spellStart"/>
      <w:r>
        <w:t>Raworth</w:t>
      </w:r>
      <w:proofErr w:type="spellEnd"/>
      <w:r>
        <w:t xml:space="preserve"> 2018) cristallizza molte di queste idee, ad esempio respingendo l'attenzione sulla crescita del PIL e promuovendo l'economia circolare e riducendo la disuguaglianza come obiettivi chiave</w:t>
      </w:r>
      <w:r w:rsidR="00AF4C86">
        <w:t>.</w:t>
      </w:r>
    </w:p>
    <w:p w:rsidR="00AF4C86" w:rsidRDefault="00AF4C86" w:rsidP="00B962B7">
      <w:pPr>
        <w:jc w:val="both"/>
      </w:pPr>
    </w:p>
    <w:p w:rsidR="00AB1C3B" w:rsidRDefault="00AB1C3B" w:rsidP="00B962B7">
      <w:pPr>
        <w:jc w:val="both"/>
      </w:pPr>
      <w:r>
        <w:t xml:space="preserve">L'economia ecologica e ambientale </w:t>
      </w:r>
      <w:proofErr w:type="gramStart"/>
      <w:r>
        <w:t>rimangono</w:t>
      </w:r>
      <w:proofErr w:type="gramEnd"/>
      <w:r>
        <w:t xml:space="preserve"> in qualche modo approcci separati (</w:t>
      </w:r>
      <w:proofErr w:type="spellStart"/>
      <w:r>
        <w:t>Illge</w:t>
      </w:r>
      <w:proofErr w:type="spellEnd"/>
      <w:r>
        <w:t xml:space="preserve"> e </w:t>
      </w:r>
      <w:proofErr w:type="spellStart"/>
      <w:r>
        <w:t>Schwarze</w:t>
      </w:r>
      <w:proofErr w:type="spellEnd"/>
      <w:r>
        <w:t xml:space="preserve"> 2006), sebbene con considerevoli sovrapposizioni sia in termini di approcci che di professionisti.</w:t>
      </w:r>
    </w:p>
    <w:p w:rsidR="00AB1C3B" w:rsidRDefault="00AB1C3B" w:rsidP="00B962B7">
      <w:pPr>
        <w:jc w:val="both"/>
      </w:pPr>
      <w:r>
        <w:t xml:space="preserve">Per la valutazione, le principali differenze sono state nel modo in cui i valori vengono combinati e utilizzati per supportare il processo decisionale. Tuttavia, recenti lavori sui metodi di valutazione in economia ecologica (Irvine et al. 2016; </w:t>
      </w:r>
      <w:proofErr w:type="spellStart"/>
      <w:r>
        <w:t>Kenter</w:t>
      </w:r>
      <w:proofErr w:type="spellEnd"/>
      <w:r>
        <w:t xml:space="preserve"> et al. 2015) hanno cercato di prendere le distanze dagli approcci neoclassici principalmente suggerendo che molti valori ambientali sono sociali e condivisi e si formano così in risposta a situazioni specifiche, anziché essere associate alle "funzioni di utilità" di individui indipendenti.</w:t>
      </w:r>
    </w:p>
    <w:p w:rsidR="00AB1C3B" w:rsidRDefault="00AB1C3B" w:rsidP="00B962B7">
      <w:pPr>
        <w:jc w:val="both"/>
      </w:pPr>
      <w:r>
        <w:lastRenderedPageBreak/>
        <w:t xml:space="preserve">Costanza et al. (1997) hanno combinato l'economia ambientale con un quadro di servizi </w:t>
      </w:r>
      <w:proofErr w:type="spellStart"/>
      <w:r>
        <w:t>ecosistemici</w:t>
      </w:r>
      <w:proofErr w:type="spellEnd"/>
      <w:r>
        <w:t xml:space="preserve"> per "valorizzare" i servizi </w:t>
      </w:r>
      <w:proofErr w:type="spellStart"/>
      <w:r>
        <w:t>ecosistemici</w:t>
      </w:r>
      <w:proofErr w:type="spellEnd"/>
      <w:r>
        <w:t xml:space="preserve"> mondiali a 33 trilioni di dollari all'anno. Lo studio Costanza è stato teoricamente imperfetto1 nel cercare un valore totale per gli ecosistemi da cui dipende tutta la vita (Fisher, Turner e </w:t>
      </w:r>
      <w:proofErr w:type="spellStart"/>
      <w:r>
        <w:t>Morling</w:t>
      </w:r>
      <w:proofErr w:type="spellEnd"/>
      <w:r>
        <w:t xml:space="preserve"> (2009) lo ha descritto come "un grave sottovalutazione dell'infinito") ma ha sensibilizzato con successo al paradigma dei servizi </w:t>
      </w:r>
      <w:proofErr w:type="spellStart"/>
      <w:r>
        <w:t>ecosistemici</w:t>
      </w:r>
      <w:proofErr w:type="spellEnd"/>
      <w:r>
        <w:t xml:space="preserve"> e valutazione non di mercato, spostandoli nel dibattito principale.</w:t>
      </w:r>
    </w:p>
    <w:p w:rsidR="00AB1C3B" w:rsidRDefault="00AB1C3B" w:rsidP="00B962B7">
      <w:pPr>
        <w:jc w:val="both"/>
      </w:pPr>
      <w:r>
        <w:t xml:space="preserve">La perdita continua di biodiversità ed ecosistemi è stata evidenziata in studi come il Millennium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(MA 2005) e vari National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Assessments</w:t>
      </w:r>
      <w:proofErr w:type="spellEnd"/>
      <w:r>
        <w:t xml:space="preserve"> (inclusi quelli nel Regno Unito: UKNEA 2011 e 2014), con un collegamento diretto con le perdite economiche e il declino in benessere umano. The </w:t>
      </w:r>
      <w:proofErr w:type="spellStart"/>
      <w:r>
        <w:t>Economics</w:t>
      </w:r>
      <w:proofErr w:type="spellEnd"/>
      <w:r>
        <w:t xml:space="preserve"> of </w:t>
      </w:r>
      <w:proofErr w:type="spellStart"/>
      <w:r>
        <w:t>Ecosystems</w:t>
      </w:r>
      <w:proofErr w:type="spellEnd"/>
      <w:r>
        <w:t xml:space="preserve"> and </w:t>
      </w:r>
      <w:proofErr w:type="spellStart"/>
      <w:r>
        <w:t>Biodiversity</w:t>
      </w:r>
      <w:proofErr w:type="spellEnd"/>
      <w:r>
        <w:t xml:space="preserve"> (TEEB) 2 ha svolto un ruolo globale nel "rendere visibili i valori della natura". La Commissione europea ha sostenuto TEEB attraverso diversi progetti, tra cui lo studio sul costo dell'inazione politica (</w:t>
      </w:r>
      <w:proofErr w:type="spellStart"/>
      <w:r>
        <w:t>Braat</w:t>
      </w:r>
      <w:proofErr w:type="spellEnd"/>
      <w:r>
        <w:t xml:space="preserve"> e </w:t>
      </w:r>
      <w:proofErr w:type="spellStart"/>
      <w:r>
        <w:t>ten</w:t>
      </w:r>
      <w:proofErr w:type="spellEnd"/>
      <w:r>
        <w:t xml:space="preserve"> </w:t>
      </w:r>
      <w:proofErr w:type="spellStart"/>
      <w:r>
        <w:t>Brink</w:t>
      </w:r>
      <w:proofErr w:type="spellEnd"/>
      <w:r>
        <w:t xml:space="preserve"> 2008) che ha fornito una stima prudente e parziale che il costo globale della perdita di biodiversità aggiuntiva dopo il 2000 raggiungerebbe il 7% del PIL mondiale entro il 2050.</w:t>
      </w:r>
    </w:p>
    <w:p w:rsidR="00AB1C3B" w:rsidRDefault="00AB1C3B" w:rsidP="00B962B7">
      <w:pPr>
        <w:jc w:val="both"/>
      </w:pPr>
      <w:r>
        <w:t xml:space="preserve">Il numero di documenti e progetti che utilizzano servizi </w:t>
      </w:r>
      <w:proofErr w:type="spellStart"/>
      <w:r>
        <w:t>ecosistemici</w:t>
      </w:r>
      <w:proofErr w:type="spellEnd"/>
      <w:r>
        <w:t xml:space="preserve"> è aumentato notevolmente e il concetto è ormai radicato nella politica di tutto il mondo. L'Agenzia europea dell'ambiente (AEA) ha guidato i lavori per sviluppare la classificazione internazionale comune dei servizi </w:t>
      </w:r>
      <w:proofErr w:type="spellStart"/>
      <w:r>
        <w:t>ecosistemici</w:t>
      </w:r>
      <w:proofErr w:type="spellEnd"/>
      <w:r>
        <w:t xml:space="preserve"> (CICES) 3 e l'Agenzia statunitense per la protezione dell'ambiente (EPA) ha sviluppato il sistema finale di classificazione dei beni e servizi </w:t>
      </w:r>
      <w:proofErr w:type="spellStart"/>
      <w:r>
        <w:t>ecosistemici</w:t>
      </w:r>
      <w:proofErr w:type="spellEnd"/>
      <w:r>
        <w:t xml:space="preserve"> (FEGS-CS) .4 La piattaforma di politica scientifica intergovernativa sulla biodiversità e i servizi </w:t>
      </w:r>
      <w:proofErr w:type="spellStart"/>
      <w:r>
        <w:t>ecosistemici</w:t>
      </w:r>
      <w:proofErr w:type="spellEnd"/>
      <w:r>
        <w:t xml:space="preserve"> (IPBES) è stata istituita nel 2012 per valutare lo stato della biodiversità e dei servizi </w:t>
      </w:r>
      <w:proofErr w:type="spellStart"/>
      <w:r>
        <w:t>ecosistemici</w:t>
      </w:r>
      <w:proofErr w:type="spellEnd"/>
      <w:r>
        <w:t xml:space="preserve"> che fornisce alla società, in risposta alle richieste dei decisori. Accanto a questi sviluppi, un numero crescente di studi di valutazione economica originali, meta-analisi</w:t>
      </w:r>
      <w:r w:rsidR="00AF4C86">
        <w:t xml:space="preserve"> </w:t>
      </w:r>
      <w:r>
        <w:t xml:space="preserve">di studi di valutazione economica (ad esempio </w:t>
      </w:r>
      <w:proofErr w:type="spellStart"/>
      <w:r>
        <w:t>Brouwer</w:t>
      </w:r>
      <w:proofErr w:type="spellEnd"/>
      <w:r>
        <w:t xml:space="preserve"> et al. 1999; </w:t>
      </w:r>
      <w:proofErr w:type="spellStart"/>
      <w:r>
        <w:t>Brander</w:t>
      </w:r>
      <w:proofErr w:type="spellEnd"/>
      <w:r>
        <w:t xml:space="preserve"> et al. 2012) e banche dati di valutazione economica ha consolidato la base di prove e ha facilitato il trasferimento di stime di valore economico in nuovi contesti (tale trasferimento è considerato controverso da alcuni: vedi ad esempio </w:t>
      </w:r>
      <w:proofErr w:type="spellStart"/>
      <w:r>
        <w:t>Ravenscroft</w:t>
      </w:r>
      <w:proofErr w:type="spellEnd"/>
      <w:r>
        <w:t xml:space="preserve"> 2019). L'integrazione della valutazione economica è dimostrata dallo sviluppo nell'ambito della serie di sistemi di gestione ambientale International </w:t>
      </w:r>
      <w:proofErr w:type="spellStart"/>
      <w:r>
        <w:t>Standards</w:t>
      </w:r>
      <w:proofErr w:type="spellEnd"/>
      <w:r>
        <w:t xml:space="preserve"> Organization (ISO) 14000 (lo standard più venduto al mondo) di ISO 14007 "Gestione ambientale: determinazione dei costi e dei benefici ambientali - Linee guida" 7 e ISO 140088 "Valutazione monetaria di impatti ambientali e relativi aspetti ambientali". Nonostante questi progressi, la valutazione economica della biodiversità rimane notoriamente difficile: i rischi di interpretazioni involontarie e sottovalutazione rendono particolarmente importante la presentazione di una narrativa sia qualitativa che quantitativa, nonché di ciò che è possibile esprimere in termini monetari.</w:t>
      </w:r>
    </w:p>
    <w:p w:rsidR="00AB1C3B" w:rsidRDefault="00AB1C3B" w:rsidP="00B962B7">
      <w:pPr>
        <w:jc w:val="both"/>
      </w:pPr>
    </w:p>
    <w:p w:rsidR="00AB1C3B" w:rsidRPr="008D618E" w:rsidRDefault="008D618E" w:rsidP="00B962B7">
      <w:pPr>
        <w:jc w:val="both"/>
        <w:rPr>
          <w:b/>
          <w:bCs/>
        </w:rPr>
      </w:pPr>
      <w:r w:rsidRPr="008D618E">
        <w:rPr>
          <w:b/>
          <w:bCs/>
        </w:rPr>
        <w:t>3</w:t>
      </w:r>
      <w:r w:rsidR="00AB1C3B" w:rsidRPr="008D618E">
        <w:rPr>
          <w:b/>
          <w:bCs/>
        </w:rPr>
        <w:t>.1. Il concetto di valore nell'economia neoclassica</w:t>
      </w:r>
    </w:p>
    <w:p w:rsidR="00AB1C3B" w:rsidRDefault="00AB1C3B" w:rsidP="00B962B7">
      <w:pPr>
        <w:jc w:val="both"/>
      </w:pPr>
      <w:r>
        <w:t xml:space="preserve">Nell'economia neoclassica, il "valore" è fondato sull'utilitarismo, una teoria etica risalente a Hume (1751) e </w:t>
      </w:r>
      <w:proofErr w:type="spellStart"/>
      <w:r>
        <w:t>Bentham</w:t>
      </w:r>
      <w:proofErr w:type="spellEnd"/>
      <w:r>
        <w:t xml:space="preserve"> (1789) e con radici nei filosofi edonisti greci. L'utilitarismo sostiene che la migliore azione morale è quella che massimizza l'utilità. L'utilità a sua volta può essere variamente definita, ma è generalmente correlata al benessere degli esseri senzienti. Nell'economia neoclassica, vengono presi in considerazione solo i valori antropocentrici (compresi i valori passivi e di non utilizzo). I valori non antropocentrici e intrinseci, per i quali non abbiamo metodi di valutazione, sono esclusi, sebbene possano essere riconosciuti come limiti della valutazione economica rispetto ai nostri obblighi verso altri esseri e oggetti.</w:t>
      </w:r>
    </w:p>
    <w:p w:rsidR="00AB1C3B" w:rsidRDefault="00AB1C3B" w:rsidP="00B962B7">
      <w:pPr>
        <w:jc w:val="both"/>
      </w:pPr>
      <w:r>
        <w:t>L'utilità umana è valutata usando il quadro della teoria dell'utilità attesa (</w:t>
      </w:r>
      <w:proofErr w:type="spellStart"/>
      <w:r>
        <w:t>Neumann</w:t>
      </w:r>
      <w:proofErr w:type="spellEnd"/>
      <w:r>
        <w:t xml:space="preserve"> e </w:t>
      </w:r>
      <w:proofErr w:type="spellStart"/>
      <w:r>
        <w:t>Morgenstern</w:t>
      </w:r>
      <w:proofErr w:type="spellEnd"/>
      <w:r>
        <w:t xml:space="preserve"> 1944) in base al presupposto che gli individui agiscono come "</w:t>
      </w:r>
      <w:proofErr w:type="spellStart"/>
      <w:r>
        <w:t>massimizzatori</w:t>
      </w:r>
      <w:proofErr w:type="spellEnd"/>
      <w:r>
        <w:t xml:space="preserve"> razionali dell'utilità" le cui decisioni e comportamenti derivano da preferenze che riflettono accuratamente le loro utilità. I valori correlati sono riflessi attraverso le scelte individuali sotto un vincolo di budget, espressi come </w:t>
      </w:r>
      <w:r>
        <w:lastRenderedPageBreak/>
        <w:t>"disponibilità a pagare" (WTP) per garantire un guadagno o evitare una perdita o "indennità per accettazione" (WTA) di rinunciare a un guadagno o tollerare una perdita.</w:t>
      </w:r>
    </w:p>
    <w:p w:rsidR="00AB1C3B" w:rsidRDefault="00AB1C3B" w:rsidP="00B962B7">
      <w:pPr>
        <w:jc w:val="both"/>
      </w:pPr>
      <w:r>
        <w:t xml:space="preserve">Sebbene basato sulle preferenze individuali, il quadro del Valore economico totale (TEV) (Figura 1) non si limita ai valori "egoistici". Oltre ai valori per i loro usi diretti e indiretti di beni e servizi, le persone hanno spesso preferenze altruistiche per gli altri, per le generazioni future (valore ereditario) e per gli aspetti del mondo naturale a sé stanti (valore dell'esistenza). Questi "valori di non utilizzo" sono espressi, ad esempio, tramite donazioni di beneficenza. Il </w:t>
      </w:r>
      <w:proofErr w:type="spellStart"/>
      <w:r>
        <w:t>framework</w:t>
      </w:r>
      <w:proofErr w:type="spellEnd"/>
      <w:r>
        <w:t xml:space="preserve"> è stato recentemente ampliato da </w:t>
      </w:r>
      <w:proofErr w:type="spellStart"/>
      <w:r>
        <w:t>Pascual</w:t>
      </w:r>
      <w:proofErr w:type="spellEnd"/>
      <w:r>
        <w:t xml:space="preserve"> et al. (2015) per includere i valori di "assicurazione", relativi all'incertezza sugli esiti e sulle preferenze e la volontà associata di pagare per mitigare i rischi, adattarsi ai rischi o preservare le opzioni per utilizzare le risorse se le circostanze cambiano.</w:t>
      </w:r>
    </w:p>
    <w:p w:rsidR="00AB1C3B" w:rsidRDefault="00AB1C3B" w:rsidP="00B962B7">
      <w:pPr>
        <w:jc w:val="both"/>
      </w:pPr>
    </w:p>
    <w:p w:rsidR="00AB1C3B" w:rsidRPr="008D618E" w:rsidRDefault="008D618E" w:rsidP="00B962B7">
      <w:pPr>
        <w:jc w:val="both"/>
        <w:rPr>
          <w:b/>
          <w:bCs/>
        </w:rPr>
      </w:pPr>
      <w:r w:rsidRPr="008D618E">
        <w:rPr>
          <w:b/>
          <w:bCs/>
        </w:rPr>
        <w:t>3</w:t>
      </w:r>
      <w:r w:rsidR="00AB1C3B" w:rsidRPr="008D618E">
        <w:rPr>
          <w:b/>
          <w:bCs/>
        </w:rPr>
        <w:t>.2. Valori nei mercati</w:t>
      </w:r>
    </w:p>
    <w:p w:rsidR="00AB1C3B" w:rsidRDefault="00AB1C3B" w:rsidP="00B962B7">
      <w:pPr>
        <w:jc w:val="both"/>
      </w:pPr>
      <w:r>
        <w:t>L'uso di denaro e mercati consente enormi guadagni di efficienza rispetto ai sistemi di baratto o attività dirette. Gli individui esprimono le loro preferenze attraverso le richieste del mercato di beni e servizi e la loro offerta di lavoro e beni, mentre le imprese esprimono valori attraverso la domanda di risorse e lavoro e l'offerta di beni e servizi. Un mercato ben funzionante consente scambi reciprocamente vantaggiosi e il mercato "cancella" a un prezzo al quale tutte le persone disposte a negoziare a quel prezzo possono farlo, massimizzando il surplus economico prodotto.</w:t>
      </w:r>
    </w:p>
    <w:p w:rsidR="00AB1C3B" w:rsidRDefault="00AB1C3B" w:rsidP="00B962B7">
      <w:pPr>
        <w:jc w:val="both"/>
      </w:pPr>
      <w:r>
        <w:t>L '"equilibrio generale" (</w:t>
      </w:r>
      <w:proofErr w:type="spellStart"/>
      <w:r>
        <w:t>Walras</w:t>
      </w:r>
      <w:proofErr w:type="spellEnd"/>
      <w:r>
        <w:t xml:space="preserve"> 1877) implica la compensazione simultanea di tutti i mercati, in modo che i prezzi in ciascun mercato rappresentino i costi opportunità delle risorse utilizzate per produrre il bene o il servizio. Attraverso adeguamenti dei prezzi in risposta all'offerta e alla domanda, una serie completa di mercati perfettamente funzionanti raggiungerebbe un'allocazione efficiente delle risorse scarse, massimizzando il surplus economico e raggiungendo un "Pareto ottimale" in cui non è possibile migliorare qualsiasi persona senza peggiorare qualcuno (Pareto 1906). Esistono molti possibili equilibri ottimali di Pareto: quali mercati "perfetti" raggiungerebbero in teoria dipende dalla distribuzione iniziale di "dotazioni" (diritti di proprietà) e la scelta sociale tra loro è una questione normativa di "equità".</w:t>
      </w:r>
    </w:p>
    <w:p w:rsidR="00AB1C3B" w:rsidRDefault="00AB1C3B" w:rsidP="00B962B7">
      <w:pPr>
        <w:jc w:val="both"/>
      </w:pPr>
      <w:r>
        <w:t xml:space="preserve">A livello sociale, le politiche fiscali e di ridistribuzione possono essere utilizzate per migliorare l'equità (vedi ad esempio </w:t>
      </w:r>
      <w:proofErr w:type="spellStart"/>
      <w:r>
        <w:t>Hochman</w:t>
      </w:r>
      <w:proofErr w:type="spellEnd"/>
      <w:r>
        <w:t xml:space="preserve"> e </w:t>
      </w:r>
      <w:proofErr w:type="spellStart"/>
      <w:r>
        <w:t>Rodgers</w:t>
      </w:r>
      <w:proofErr w:type="spellEnd"/>
      <w:r>
        <w:t xml:space="preserve"> 1969; </w:t>
      </w:r>
      <w:proofErr w:type="spellStart"/>
      <w:r>
        <w:t>Stiglitz</w:t>
      </w:r>
      <w:proofErr w:type="spellEnd"/>
      <w:r>
        <w:t xml:space="preserve"> 1987). Le valutazioni economiche individuali generalmente applicano la regola di </w:t>
      </w:r>
      <w:proofErr w:type="spellStart"/>
      <w:r>
        <w:t>Kaldor-Hicks</w:t>
      </w:r>
      <w:proofErr w:type="spellEnd"/>
      <w:r>
        <w:t xml:space="preserve"> (</w:t>
      </w:r>
      <w:proofErr w:type="spellStart"/>
      <w:r>
        <w:t>Hicks</w:t>
      </w:r>
      <w:proofErr w:type="spellEnd"/>
      <w:r>
        <w:t xml:space="preserve"> 1939; </w:t>
      </w:r>
      <w:proofErr w:type="spellStart"/>
      <w:r>
        <w:t>Kaldor</w:t>
      </w:r>
      <w:proofErr w:type="spellEnd"/>
      <w:r>
        <w:t xml:space="preserve"> 1939) secondo cui un cambiamento è vantaggioso se i "vincitori" potrebbero compensare completamente i "perdenti" e stare ancora meglio. Ma senza alcun compenso effettivo, in pratica le valutazioni consentono ad alcune persone di compensare le perdite con altre.</w:t>
      </w:r>
    </w:p>
    <w:p w:rsidR="00AB1C3B" w:rsidRDefault="00AB1C3B" w:rsidP="00B962B7">
      <w:pPr>
        <w:jc w:val="both"/>
      </w:pPr>
      <w:r>
        <w:t xml:space="preserve">In realtà, mentre i prezzi di mercato guidano le scelte individuali, vari "fallimenti del mercato" (vedi Bator 1958) significano che non riflettono sempre i valori sociali, con risultati (Pareto) inefficienti. </w:t>
      </w:r>
    </w:p>
    <w:p w:rsidR="00AB1C3B" w:rsidRDefault="00AB1C3B" w:rsidP="00B962B7">
      <w:pPr>
        <w:jc w:val="both"/>
      </w:pPr>
      <w:r>
        <w:t xml:space="preserve">Per i beni e servizi </w:t>
      </w:r>
      <w:proofErr w:type="spellStart"/>
      <w:r>
        <w:t>ecosistemici</w:t>
      </w:r>
      <w:proofErr w:type="spellEnd"/>
      <w:r>
        <w:t xml:space="preserve">, il principale fallimento del mercato è spesso l'esternalità, poiché molti beni e servizi </w:t>
      </w:r>
      <w:proofErr w:type="spellStart"/>
      <w:r>
        <w:t>ecosistemici</w:t>
      </w:r>
      <w:proofErr w:type="spellEnd"/>
      <w:r>
        <w:t xml:space="preserve"> a beneficio delle persone non sono scambiati nei mercati. Ciò spinge un cuneo tra risultati di mercato e risultati socialmente desiderabili. Le politiche possono affrontare tali guasti in vari modi,</w:t>
      </w:r>
      <w:r w:rsidR="008D618E">
        <w:t xml:space="preserve"> </w:t>
      </w:r>
      <w:r>
        <w:t>compreso il cambiamento dei prezzi (tasse, sussidi), il controllo dei quantitativi (quote, permessi) o la limitazione di attività e tecnologie e attività (regolamenti, divieti). Per supportare le politiche e per la valutazione (in particolare l'analisi costi-benefici), un'opzione utile è stimare i valori economici per beni e servizi non di mercato in unità monetarie. I metodi di valutazione economica cercano di estendere la portata dell'analisi economica per considerare tutte le conseguenze delle decisioni che entrano nelle funzioni di utilità e di produzione, non solo quelle che sono scambiate nei mercati, consentendo il confronto dei valori relativi tra impatti, persone, tempo e decisioni.</w:t>
      </w:r>
    </w:p>
    <w:p w:rsidR="009516AB" w:rsidRDefault="009516AB" w:rsidP="00B962B7">
      <w:pPr>
        <w:jc w:val="both"/>
      </w:pPr>
    </w:p>
    <w:p w:rsidR="008D618E" w:rsidRDefault="008D618E" w:rsidP="00B962B7">
      <w:pPr>
        <w:jc w:val="both"/>
      </w:pPr>
    </w:p>
    <w:p w:rsidR="008D618E" w:rsidRDefault="008D618E" w:rsidP="00B962B7">
      <w:pPr>
        <w:jc w:val="both"/>
      </w:pPr>
    </w:p>
    <w:p w:rsidR="008D618E" w:rsidRDefault="008D618E" w:rsidP="00B962B7">
      <w:pPr>
        <w:jc w:val="both"/>
      </w:pPr>
      <w:r w:rsidRPr="008D618E">
        <w:drawing>
          <wp:inline distT="0" distB="0" distL="0" distR="0" wp14:anchorId="164721A0" wp14:editId="0D5189E1">
            <wp:extent cx="6116320" cy="2578100"/>
            <wp:effectExtent l="0" t="0" r="5080" b="0"/>
            <wp:docPr id="1" name="Immagine 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3B" w:rsidRDefault="00AB1C3B" w:rsidP="00B962B7">
      <w:pPr>
        <w:jc w:val="both"/>
      </w:pPr>
    </w:p>
    <w:p w:rsidR="00AB1C3B" w:rsidRPr="008D618E" w:rsidRDefault="00AB1C3B" w:rsidP="00B962B7">
      <w:pPr>
        <w:jc w:val="both"/>
        <w:rPr>
          <w:b/>
          <w:bCs/>
        </w:rPr>
      </w:pPr>
      <w:r w:rsidRPr="008D618E">
        <w:rPr>
          <w:b/>
          <w:bCs/>
        </w:rPr>
        <w:t>3</w:t>
      </w:r>
      <w:r w:rsidR="008D618E">
        <w:rPr>
          <w:b/>
          <w:bCs/>
        </w:rPr>
        <w:t>.3</w:t>
      </w:r>
      <w:r w:rsidRPr="008D618E">
        <w:rPr>
          <w:b/>
          <w:bCs/>
        </w:rPr>
        <w:t xml:space="preserve"> Metodi di valutazione economica</w:t>
      </w:r>
    </w:p>
    <w:p w:rsidR="00AB1C3B" w:rsidRDefault="00AB1C3B" w:rsidP="00B962B7">
      <w:pPr>
        <w:jc w:val="both"/>
      </w:pPr>
      <w:r>
        <w:t>I valori per beni e servizi scambiati nei mercati sono generalmente stimati attraverso i prezzi osservati, o talvolta la stima econometrica delle curve di domanda per le variazioni non marginali. In caso di fallimento del mercato, i prezzi possono essere adeguati o stimati in modo da ricavare "prezzi ombra" che riflettano benefici e costi sociali.</w:t>
      </w:r>
    </w:p>
    <w:p w:rsidR="00AB1C3B" w:rsidRDefault="00AB1C3B" w:rsidP="00B962B7">
      <w:pPr>
        <w:jc w:val="both"/>
      </w:pPr>
      <w:r>
        <w:t xml:space="preserve">Laddove un bene non di mercato sia strettamente correlato a uno di mercato, è possibile identificare i valori </w:t>
      </w:r>
      <w:proofErr w:type="spellStart"/>
      <w:r>
        <w:t>proxy</w:t>
      </w:r>
      <w:proofErr w:type="spellEnd"/>
      <w:r>
        <w:t>. Ad esempio, gli alimenti coltivati ​​in casa o raccolti possono essere valutati utilizzando i prezzi di mercato per prodotti equivalenti.</w:t>
      </w:r>
    </w:p>
    <w:p w:rsidR="00AB1C3B" w:rsidRDefault="00AB1C3B" w:rsidP="00B962B7">
      <w:pPr>
        <w:jc w:val="both"/>
      </w:pPr>
      <w:r>
        <w:t>Talvolta, l'analisi statistica può derivare da "funzioni di produzione" relative ai cambiamenti di alcune funzioni degli ecosistemi con la produzione di un bene o servizio che può essere valutato (</w:t>
      </w:r>
      <w:proofErr w:type="spellStart"/>
      <w:r>
        <w:t>Barbier</w:t>
      </w:r>
      <w:proofErr w:type="spellEnd"/>
      <w:r>
        <w:t xml:space="preserve"> 2007). Ad esempio, le funzioni di produzione che collegano l'inquinamento atmosferico ai raccolti (valori di mercato) e la salute umana (valori non di mercato) stimano i danni dell'inquinamento atmosferico nella Cina continentale al 5,7-6,6% del PIL (Miao, Huang e Song 2017). La difficoltà principale è la disponibilità di conoscenze scientifiche e / o dati per stimare la funzione di produzione.</w:t>
      </w:r>
    </w:p>
    <w:p w:rsidR="00AB1C3B" w:rsidRDefault="00AB1C3B" w:rsidP="00B962B7">
      <w:pPr>
        <w:jc w:val="both"/>
      </w:pPr>
      <w:r>
        <w:t>Laddove i valori di mercato non possono essere utilizzati o adeguati, esistono due approcci principali alla valutazione:</w:t>
      </w:r>
      <w:r w:rsidR="008D618E">
        <w:t xml:space="preserve"> </w:t>
      </w:r>
      <w:r>
        <w:t>preferenz</w:t>
      </w:r>
      <w:r w:rsidR="008D618E">
        <w:t>e</w:t>
      </w:r>
      <w:r>
        <w:t xml:space="preserve"> rivelat</w:t>
      </w:r>
      <w:r w:rsidR="008D618E">
        <w:t>e</w:t>
      </w:r>
      <w:r>
        <w:t xml:space="preserve"> e preferenz</w:t>
      </w:r>
      <w:r w:rsidR="008D618E">
        <w:t>e</w:t>
      </w:r>
      <w:r>
        <w:t xml:space="preserve"> dichiarat</w:t>
      </w:r>
      <w:r w:rsidR="008D618E">
        <w:t>e.</w:t>
      </w:r>
    </w:p>
    <w:p w:rsidR="008D618E" w:rsidRDefault="008D618E" w:rsidP="00B962B7">
      <w:pPr>
        <w:jc w:val="both"/>
      </w:pPr>
    </w:p>
    <w:p w:rsidR="008D618E" w:rsidRDefault="008D618E" w:rsidP="008D618E">
      <w:pPr>
        <w:jc w:val="both"/>
      </w:pPr>
    </w:p>
    <w:p w:rsidR="008D618E" w:rsidRDefault="008D618E" w:rsidP="008D618E">
      <w:pPr>
        <w:jc w:val="both"/>
      </w:pPr>
      <w:r>
        <w:t>3.</w:t>
      </w:r>
      <w:r>
        <w:t>3.</w:t>
      </w:r>
      <w:r>
        <w:t>1 Preferenz</w:t>
      </w:r>
      <w:r>
        <w:t>e</w:t>
      </w:r>
      <w:r>
        <w:t xml:space="preserve"> rivelat</w:t>
      </w:r>
      <w:r>
        <w:t>e</w:t>
      </w:r>
    </w:p>
    <w:p w:rsidR="008D618E" w:rsidRDefault="008D618E" w:rsidP="008D618E">
      <w:pPr>
        <w:jc w:val="both"/>
      </w:pPr>
      <w:r>
        <w:t>I metodi di preferenza rivelati analizzano le relazioni tra la domanda di alcuni beni di mercato e le preferenze per i relativi beni/servizi non di mercato. Questi metodi funzionano solo se i cambiamenti nella fornitura del bene non di mercato hanno un impatto osservabile sulla domanda di un bene di mercato. Gli esempi includono i mercati immobiliari e del lavoro (metodi edonici), la domanda per le attività ricreative (costi di viaggio) e la domanda di prodotti che compensano le perdite nei servizi ambientali (comportamento di prevenzione).</w:t>
      </w:r>
    </w:p>
    <w:p w:rsidR="008D618E" w:rsidRDefault="008D618E" w:rsidP="008D618E">
      <w:pPr>
        <w:jc w:val="both"/>
      </w:pPr>
      <w:r>
        <w:t>Gli approcci di prevenzione dei comportamenti comportano la stima delle "funzioni di produzione" domestiche che permettono di</w:t>
      </w:r>
      <w:r w:rsidR="009516AB">
        <w:t xml:space="preserve"> </w:t>
      </w:r>
      <w:r>
        <w:t>calcolo dei valori per i rischi e le diseconomie attraverso le spese sostenute dalle famiglie per evitare ad esempio per evitare l'esposizione all'inquinamento (</w:t>
      </w:r>
      <w:proofErr w:type="spellStart"/>
      <w:r>
        <w:t>Bartik</w:t>
      </w:r>
      <w:proofErr w:type="spellEnd"/>
      <w:r>
        <w:t xml:space="preserve"> 1988) o i rischi associati alle acque sotterranee contaminazione (Abdalla, </w:t>
      </w:r>
      <w:proofErr w:type="spellStart"/>
      <w:r>
        <w:t>Roach</w:t>
      </w:r>
      <w:proofErr w:type="spellEnd"/>
      <w:r>
        <w:t xml:space="preserve">, e </w:t>
      </w:r>
      <w:proofErr w:type="spellStart"/>
      <w:r>
        <w:t>Epp</w:t>
      </w:r>
      <w:proofErr w:type="spellEnd"/>
      <w:r>
        <w:t xml:space="preserve"> 1992). I problemi includono, ad esempio, gli impatti sulle articolazioni (ad esempio, i doppi vetri influenzeranno sia il rumore che il comfort termico), la "nodosità" degli investimenti e costi delle </w:t>
      </w:r>
      <w:r>
        <w:lastRenderedPageBreak/>
        <w:t xml:space="preserve">transazioni (cfr. </w:t>
      </w:r>
      <w:proofErr w:type="spellStart"/>
      <w:r>
        <w:t>Courant</w:t>
      </w:r>
      <w:proofErr w:type="spellEnd"/>
      <w:r>
        <w:t xml:space="preserve"> e Porter 1981) e informazioni imperfette sui rischi, sull'efficacia</w:t>
      </w:r>
      <w:r w:rsidR="009516AB">
        <w:t xml:space="preserve"> </w:t>
      </w:r>
      <w:r>
        <w:t>di misure e l'</w:t>
      </w:r>
      <w:proofErr w:type="spellStart"/>
      <w:r>
        <w:t>endogeneità</w:t>
      </w:r>
      <w:proofErr w:type="spellEnd"/>
      <w:r>
        <w:t xml:space="preserve"> della percezione del rischio (Lloyd-Smith et al. 2018).</w:t>
      </w:r>
    </w:p>
    <w:p w:rsidR="008D618E" w:rsidRDefault="008D618E" w:rsidP="008D618E">
      <w:pPr>
        <w:jc w:val="both"/>
      </w:pPr>
      <w:r>
        <w:t xml:space="preserve">Il </w:t>
      </w:r>
      <w:proofErr w:type="spellStart"/>
      <w:r>
        <w:t>pricing</w:t>
      </w:r>
      <w:proofErr w:type="spellEnd"/>
      <w:r>
        <w:t xml:space="preserve"> edonico ha un background teorico simile (</w:t>
      </w:r>
      <w:proofErr w:type="spellStart"/>
      <w:r>
        <w:t>Rosen</w:t>
      </w:r>
      <w:proofErr w:type="spellEnd"/>
      <w:r>
        <w:t xml:space="preserve"> 1974). Le applicazioni comuni cercano valutare gli aspetti di qualità ambientale dell'edilizia abitativa attraverso l'analisi statistica dei mercati immobiliari (cfr. Boyle e Kiel 2001). I valori di vendita/affitto delle proprietà sono modellati in funzione degli "attributi" della proprietà compresa la qualità dell'ambiente (come il rumore (</w:t>
      </w:r>
      <w:proofErr w:type="spellStart"/>
      <w:r>
        <w:t>Day</w:t>
      </w:r>
      <w:proofErr w:type="spellEnd"/>
      <w:r>
        <w:t xml:space="preserve">, </w:t>
      </w:r>
      <w:proofErr w:type="spellStart"/>
      <w:r>
        <w:t>Bateman</w:t>
      </w:r>
      <w:proofErr w:type="spellEnd"/>
      <w:r>
        <w:t>, e il Lago 2007), l'aria l'inquinamento (Smith e Huang 1993), o la vicinanza a caratteristiche desiderabili, come uno spazio verde urbano</w:t>
      </w:r>
      <w:r w:rsidR="009516AB">
        <w:t xml:space="preserve"> </w:t>
      </w:r>
      <w:r>
        <w:t>(</w:t>
      </w:r>
      <w:proofErr w:type="spellStart"/>
      <w:r>
        <w:t>Czembrowski</w:t>
      </w:r>
      <w:proofErr w:type="spellEnd"/>
      <w:r>
        <w:t xml:space="preserve"> e </w:t>
      </w:r>
      <w:proofErr w:type="spellStart"/>
      <w:r>
        <w:t>Kronenberg</w:t>
      </w:r>
      <w:proofErr w:type="spellEnd"/>
      <w:r>
        <w:t xml:space="preserve"> 2016) o caratteristiche indesiderate come le discariche (</w:t>
      </w:r>
      <w:proofErr w:type="spellStart"/>
      <w:r>
        <w:t>Hite</w:t>
      </w:r>
      <w:proofErr w:type="spellEnd"/>
      <w:r>
        <w:t xml:space="preserve"> et al. 2001)).</w:t>
      </w:r>
    </w:p>
    <w:p w:rsidR="008D618E" w:rsidRDefault="008D618E" w:rsidP="008D618E">
      <w:pPr>
        <w:jc w:val="both"/>
      </w:pPr>
      <w:r>
        <w:t>Il metodo tiene conto solo dei valori d'uso associati all'occupazione dell'immobile e non copre i valori per i non residenti. Il metodo presuppone che i mercati siano perfettamente funzionanti, anche se le persone possono avere una scarsa conoscenza sia dei livelli che dell'impatto di alcuni attributi (ad esempio l'inquinamento atmosferico), e i mercati immobiliari hanno generalmente elevati costi di transazione (tasse e costi di trasloco) e possono quindi rispondere lentamente alle mutate condizioni (Freeman 1981). I metodi salariali edonici utilizzano un approccio simile per valutare i rischi per la salute/vita, attraverso il premio salariale per i lavori pericolosi (</w:t>
      </w:r>
      <w:proofErr w:type="spellStart"/>
      <w:r>
        <w:t>Liu</w:t>
      </w:r>
      <w:proofErr w:type="spellEnd"/>
      <w:r>
        <w:t xml:space="preserve">, </w:t>
      </w:r>
      <w:proofErr w:type="spellStart"/>
      <w:r>
        <w:t>Hammitt</w:t>
      </w:r>
      <w:proofErr w:type="spellEnd"/>
      <w:r>
        <w:t xml:space="preserve">, e </w:t>
      </w:r>
      <w:proofErr w:type="spellStart"/>
      <w:r>
        <w:t>Liu</w:t>
      </w:r>
      <w:proofErr w:type="spellEnd"/>
      <w:r>
        <w:t xml:space="preserve"> 1997).</w:t>
      </w:r>
    </w:p>
    <w:p w:rsidR="008D618E" w:rsidRDefault="008D618E" w:rsidP="008D618E">
      <w:pPr>
        <w:jc w:val="both"/>
      </w:pPr>
      <w:r>
        <w:t xml:space="preserve">I metodi dei costi di viaggio utilizzano i costi sostenuti per il viaggio verso e in un sito, compreso il costo del tempo, come </w:t>
      </w:r>
      <w:proofErr w:type="spellStart"/>
      <w:r>
        <w:t>proxy</w:t>
      </w:r>
      <w:proofErr w:type="spellEnd"/>
      <w:r>
        <w:t xml:space="preserve"> del prezzo della ricreazione. Questo è combinato con le informazioni sulle tariffe di visita per ricavare u</w:t>
      </w:r>
      <w:r w:rsidR="009516AB">
        <w:t xml:space="preserve">na </w:t>
      </w:r>
      <w:r>
        <w:t>stima del valore della ricreazione nel sito. Le principali preoccupazioni metodologiche riguardano la valutazione dei tempi di viaggio (</w:t>
      </w:r>
      <w:proofErr w:type="spellStart"/>
      <w:r>
        <w:t>Bockstael</w:t>
      </w:r>
      <w:proofErr w:type="spellEnd"/>
      <w:r>
        <w:t xml:space="preserve">, </w:t>
      </w:r>
      <w:proofErr w:type="spellStart"/>
      <w:r>
        <w:t>Strand</w:t>
      </w:r>
      <w:proofErr w:type="spellEnd"/>
      <w:r>
        <w:t xml:space="preserve">, e </w:t>
      </w:r>
      <w:proofErr w:type="spellStart"/>
      <w:r>
        <w:t>Hanemann</w:t>
      </w:r>
      <w:proofErr w:type="spellEnd"/>
      <w:r>
        <w:t xml:space="preserve"> 1987), l'analisi di multi-sito e multi-</w:t>
      </w:r>
      <w:proofErr w:type="spellStart"/>
      <w:r>
        <w:t>purpose</w:t>
      </w:r>
      <w:proofErr w:type="spellEnd"/>
      <w:r>
        <w:t xml:space="preserve"> viaggi, e la contabilità dei siti e delle attività sostitutive (</w:t>
      </w:r>
      <w:proofErr w:type="spellStart"/>
      <w:r>
        <w:t>Ward</w:t>
      </w:r>
      <w:proofErr w:type="spellEnd"/>
      <w:r>
        <w:t xml:space="preserve"> e </w:t>
      </w:r>
      <w:proofErr w:type="spellStart"/>
      <w:r>
        <w:t>Beal</w:t>
      </w:r>
      <w:proofErr w:type="spellEnd"/>
      <w:r>
        <w:t xml:space="preserve"> 2000). Le prime applicazioni focalizzata su singoli siti, ma i metodi moderni utilizzano modelli di utilità casuali (</w:t>
      </w:r>
      <w:proofErr w:type="spellStart"/>
      <w:r>
        <w:t>Phaneuf</w:t>
      </w:r>
      <w:proofErr w:type="spellEnd"/>
      <w:r>
        <w:t xml:space="preserve"> e Smith 2005) concentrandosi sulle scelte individuali di un insieme di siti alternativi, modellati in funzione delle caratteristiche del sito e i singoli fattori, compresi i ricavi e le spese di viaggio.</w:t>
      </w:r>
    </w:p>
    <w:p w:rsidR="008D618E" w:rsidRDefault="008D618E" w:rsidP="008D618E">
      <w:pPr>
        <w:jc w:val="both"/>
      </w:pPr>
    </w:p>
    <w:p w:rsidR="00273D42" w:rsidRDefault="00273D42" w:rsidP="00273D42">
      <w:pPr>
        <w:jc w:val="both"/>
      </w:pPr>
      <w:r>
        <w:t>3.</w:t>
      </w:r>
      <w:r>
        <w:t>3.2</w:t>
      </w:r>
      <w:r>
        <w:t xml:space="preserve"> Preferenz</w:t>
      </w:r>
      <w:r>
        <w:t>e</w:t>
      </w:r>
      <w:r>
        <w:t xml:space="preserve"> dichiarat</w:t>
      </w:r>
      <w:r>
        <w:t>e</w:t>
      </w:r>
    </w:p>
    <w:p w:rsidR="00273D42" w:rsidRDefault="00273D42" w:rsidP="00273D42">
      <w:pPr>
        <w:jc w:val="both"/>
      </w:pPr>
      <w:r>
        <w:t xml:space="preserve">I metodi di preferenza dichiarati si basano su indagini che creano </w:t>
      </w:r>
      <w:r>
        <w:t xml:space="preserve">mercati </w:t>
      </w:r>
      <w:r>
        <w:t xml:space="preserve">ipotetici in cui gli intervistati possono esprimere le loro preferenze: La valutazione contingente (CV) chiede direttamente quanto gli intervistati sono disposti a pagare per assicurarsi il cambiamento presentato, o disposti ad accettare un compenso per evitarlo, attraverso domande a risposta aperta o </w:t>
      </w:r>
      <w:r>
        <w:t>chiusa</w:t>
      </w:r>
      <w:r>
        <w:t xml:space="preserve">; gli esperimenti di scelta discreta (DCE) si basano sulle scelte degli intervistati per il loro scenario preferito tra </w:t>
      </w:r>
      <w:r>
        <w:t>diverse</w:t>
      </w:r>
      <w:r>
        <w:t xml:space="preserve"> alternative. Gli scenari sono descritti da diverse combinazioni di prodotti e servizi in termini di attributi ambientali e di costi, ognuno dei quali assume livelli diversi in ogni scenario.</w:t>
      </w:r>
    </w:p>
    <w:p w:rsidR="00273D42" w:rsidRDefault="00273D42" w:rsidP="00273D42">
      <w:pPr>
        <w:jc w:val="both"/>
      </w:pPr>
      <w:r>
        <w:t>Le informazioni sui valori che le persone assegnano ai miglioramenti nei diversi beni e servizi sono indirettamente dedotte dai compromessi che le persone sono disposte a fare quando scelgono le loro alternative preferite.</w:t>
      </w:r>
    </w:p>
    <w:p w:rsidR="00273D42" w:rsidRDefault="00273D42" w:rsidP="00273D42">
      <w:pPr>
        <w:jc w:val="both"/>
      </w:pPr>
      <w:r>
        <w:t xml:space="preserve">Entrambi i formati CV e DCE consentono di stimare il WTP (o WTA) per il bene o il servizio nel suo complesso; il DCE consente anche il calcolo dei prezzi impliciti di specifici attributi. Uno dei vantaggi dei metodi di preferenza dichiarata (rispetto alla preferenza rivelata) è che possono suscitare preferenze per scenari che devono ancora verificarsi, fornendo quindi informazioni ex ante sul WTP previsto per informare la progettazione delle politiche future. Un altro è la capacità di catturare i valori di non </w:t>
      </w:r>
      <w:r>
        <w:t>uso</w:t>
      </w:r>
      <w:r>
        <w:t xml:space="preserve"> così come i valori d'uso.</w:t>
      </w:r>
    </w:p>
    <w:p w:rsidR="00273D42" w:rsidRDefault="00273D42" w:rsidP="00273D42">
      <w:pPr>
        <w:jc w:val="both"/>
      </w:pPr>
      <w:r>
        <w:t xml:space="preserve">Le risposte alle indagini sulle preferenze dichiarate possono mostrare un'elevata sensibilità a fattori che non dovrebbero avere importanza (secondo la teoria economica) e/o insensibilità a fattori che dovrebbero avere importanza. Esempi dei primi sono i </w:t>
      </w:r>
      <w:proofErr w:type="spellStart"/>
      <w:r w:rsidRPr="00273D42">
        <w:rPr>
          <w:i/>
          <w:iCs/>
        </w:rPr>
        <w:t>bias</w:t>
      </w:r>
      <w:proofErr w:type="spellEnd"/>
      <w:r>
        <w:t xml:space="preserve"> (errori)</w:t>
      </w:r>
      <w:r>
        <w:t xml:space="preserve"> di </w:t>
      </w:r>
      <w:r>
        <w:lastRenderedPageBreak/>
        <w:t>partenza/ancoraggio/intervallo (</w:t>
      </w:r>
      <w:proofErr w:type="spellStart"/>
      <w:r>
        <w:t>Chien</w:t>
      </w:r>
      <w:proofErr w:type="spellEnd"/>
      <w:r>
        <w:t xml:space="preserve">, Huang, e Shaw 2005; </w:t>
      </w:r>
      <w:proofErr w:type="spellStart"/>
      <w:r>
        <w:t>Whynes</w:t>
      </w:r>
      <w:proofErr w:type="spellEnd"/>
      <w:r>
        <w:t xml:space="preserve">, </w:t>
      </w:r>
      <w:proofErr w:type="spellStart"/>
      <w:r>
        <w:t>Wolstenholme</w:t>
      </w:r>
      <w:proofErr w:type="spellEnd"/>
      <w:r>
        <w:t xml:space="preserve">, e </w:t>
      </w:r>
      <w:proofErr w:type="spellStart"/>
      <w:r>
        <w:t>Frew</w:t>
      </w:r>
      <w:proofErr w:type="spellEnd"/>
      <w:r>
        <w:t xml:space="preserve"> 2004), dove gli importi proposti come opzioni </w:t>
      </w:r>
      <w:r>
        <w:t xml:space="preserve">di </w:t>
      </w:r>
      <w:r>
        <w:t xml:space="preserve">WTP nell'indagine influenzano le risposte, e gli effetti </w:t>
      </w:r>
      <w:r>
        <w:t>dell’ordinamento</w:t>
      </w:r>
      <w:r>
        <w:t xml:space="preserve">, </w:t>
      </w:r>
      <w:r>
        <w:t>quando</w:t>
      </w:r>
      <w:r>
        <w:t xml:space="preserve"> l'ordine in cui le componenti del bene sono valutate influenza il valore complessivo dichiarato (</w:t>
      </w:r>
      <w:proofErr w:type="spellStart"/>
      <w:r>
        <w:t>Day</w:t>
      </w:r>
      <w:proofErr w:type="spellEnd"/>
      <w:r>
        <w:t xml:space="preserve"> </w:t>
      </w:r>
      <w:proofErr w:type="spellStart"/>
      <w:r>
        <w:t xml:space="preserve">et </w:t>
      </w:r>
      <w:proofErr w:type="spellEnd"/>
      <w:r>
        <w:t xml:space="preserve">al. 2012; </w:t>
      </w:r>
      <w:proofErr w:type="spellStart"/>
      <w:r>
        <w:t>Powe</w:t>
      </w:r>
      <w:proofErr w:type="spellEnd"/>
      <w:r>
        <w:t xml:space="preserve"> e </w:t>
      </w:r>
      <w:proofErr w:type="spellStart"/>
      <w:r>
        <w:t>Bateman</w:t>
      </w:r>
      <w:proofErr w:type="spellEnd"/>
      <w:r>
        <w:t xml:space="preserve"> 2003</w:t>
      </w:r>
      <w:r>
        <w:t xml:space="preserve">; </w:t>
      </w:r>
      <w:proofErr w:type="spellStart"/>
      <w:r>
        <w:t>Powe</w:t>
      </w:r>
      <w:proofErr w:type="spellEnd"/>
      <w:r>
        <w:t xml:space="preserve"> e </w:t>
      </w:r>
      <w:proofErr w:type="spellStart"/>
      <w:r>
        <w:t>Bateman</w:t>
      </w:r>
      <w:proofErr w:type="spellEnd"/>
      <w:r>
        <w:t xml:space="preserve"> 2004; </w:t>
      </w:r>
      <w:proofErr w:type="spellStart"/>
      <w:r>
        <w:t>Veisten</w:t>
      </w:r>
      <w:proofErr w:type="spellEnd"/>
      <w:r>
        <w:t xml:space="preserve"> et al. 2004). I critici sostengono che domande ipotetiche generano risposte ipotetiche e non valide (</w:t>
      </w:r>
      <w:proofErr w:type="spellStart"/>
      <w:r>
        <w:t>Hausman</w:t>
      </w:r>
      <w:proofErr w:type="spellEnd"/>
      <w:r>
        <w:t xml:space="preserve"> 2012) e il WTP da indagini spesso supera il WTP con pagamenti reali (Little e </w:t>
      </w:r>
      <w:proofErr w:type="spellStart"/>
      <w:r>
        <w:t>Berrens</w:t>
      </w:r>
      <w:proofErr w:type="spellEnd"/>
      <w:r>
        <w:t xml:space="preserve"> 2004; </w:t>
      </w:r>
      <w:proofErr w:type="spellStart"/>
      <w:r>
        <w:t>Fifer</w:t>
      </w:r>
      <w:proofErr w:type="spellEnd"/>
      <w:r>
        <w:t xml:space="preserve">, Rose e </w:t>
      </w:r>
      <w:proofErr w:type="spellStart"/>
      <w:r>
        <w:t>Greaves</w:t>
      </w:r>
      <w:proofErr w:type="spellEnd"/>
      <w:r>
        <w:t xml:space="preserve"> 2014). Gli intervistati possono avere motivi strategici per dichiarare erroneamente le risposte, </w:t>
      </w:r>
      <w:r>
        <w:t xml:space="preserve">ad esempio </w:t>
      </w:r>
      <w:r>
        <w:t xml:space="preserve">fare un'offerta "di protesta" (falso zero o WTP gonfiato) o rifiutare di esprimere una preferenza, non perché siano indifferenti, ma perché rifiutano lo scenario di valutazione, la proprietà implicita, o il metodo di valutazione (Jorgensen et al. 1999; </w:t>
      </w:r>
      <w:proofErr w:type="spellStart"/>
      <w:r>
        <w:t>Meyerhoff</w:t>
      </w:r>
      <w:proofErr w:type="spellEnd"/>
      <w:r>
        <w:t xml:space="preserve"> e </w:t>
      </w:r>
      <w:proofErr w:type="spellStart"/>
      <w:r>
        <w:t>Liebe</w:t>
      </w:r>
      <w:proofErr w:type="spellEnd"/>
      <w:r>
        <w:t xml:space="preserve"> 2010). </w:t>
      </w:r>
    </w:p>
    <w:p w:rsidR="00273D42" w:rsidRDefault="00273D42" w:rsidP="00273D42">
      <w:pPr>
        <w:jc w:val="both"/>
      </w:pPr>
      <w:r>
        <w:t xml:space="preserve">Sostanziale la ricerca ha contribuito a sviluppare strategie per limitare questi potenziali pregiudizi attraverso un'attenta progettazione dello studio e test (Carson and </w:t>
      </w:r>
      <w:proofErr w:type="spellStart"/>
      <w:r>
        <w:t>Groves</w:t>
      </w:r>
      <w:proofErr w:type="spellEnd"/>
      <w:r>
        <w:t xml:space="preserve"> 2007; </w:t>
      </w:r>
      <w:proofErr w:type="spellStart"/>
      <w:r>
        <w:t>Meyerhoff</w:t>
      </w:r>
      <w:proofErr w:type="spellEnd"/>
      <w:r>
        <w:t xml:space="preserve"> e </w:t>
      </w:r>
      <w:proofErr w:type="spellStart"/>
      <w:r>
        <w:t>Liebe</w:t>
      </w:r>
      <w:proofErr w:type="spellEnd"/>
      <w:r>
        <w:t xml:space="preserve"> 2006; </w:t>
      </w:r>
      <w:proofErr w:type="spellStart"/>
      <w:r>
        <w:t>Cummings</w:t>
      </w:r>
      <w:proofErr w:type="spellEnd"/>
      <w:r>
        <w:t xml:space="preserve"> e Taylor 1999; </w:t>
      </w:r>
      <w:proofErr w:type="spellStart"/>
      <w:r>
        <w:t>Atkinson</w:t>
      </w:r>
      <w:proofErr w:type="spellEnd"/>
      <w:r>
        <w:t xml:space="preserve"> et al. 2012).</w:t>
      </w:r>
    </w:p>
    <w:p w:rsidR="00273D42" w:rsidRDefault="00273D42" w:rsidP="00273D42">
      <w:pPr>
        <w:jc w:val="both"/>
      </w:pPr>
      <w:r>
        <w:t xml:space="preserve">I metodi di preferenza dichiarati possono valutare il WTP per un miglioramento ambientale o la volontà di accettare un risarcimento (WTA) per il deterioramento. Il WTA può essere maggiore del WTP per </w:t>
      </w:r>
      <w:proofErr w:type="gramStart"/>
      <w:r>
        <w:t>un variazione</w:t>
      </w:r>
      <w:proofErr w:type="gramEnd"/>
      <w:r>
        <w:t xml:space="preserve"> equivalente dovuta agli effetti sul reddito, ma negli studi empirici questa discrepanza tende ad essere maggiore di quanto la teoria preveda (</w:t>
      </w:r>
      <w:proofErr w:type="spellStart"/>
      <w:r>
        <w:t>Brown</w:t>
      </w:r>
      <w:proofErr w:type="spellEnd"/>
      <w:r>
        <w:t xml:space="preserve"> e Gregory 1999; Horowitz e </w:t>
      </w:r>
      <w:proofErr w:type="spellStart"/>
      <w:r>
        <w:t>McConnell</w:t>
      </w:r>
      <w:proofErr w:type="spellEnd"/>
      <w:r>
        <w:t xml:space="preserve"> 2002). Spiegazioni comportamentali come l'effetto di dotazione o l'avversione alle perdite (</w:t>
      </w:r>
      <w:proofErr w:type="spellStart"/>
      <w:r>
        <w:t>Tversky</w:t>
      </w:r>
      <w:proofErr w:type="spellEnd"/>
      <w:r>
        <w:t xml:space="preserve"> e </w:t>
      </w:r>
      <w:proofErr w:type="spellStart"/>
      <w:r>
        <w:t>Kahneman</w:t>
      </w:r>
      <w:proofErr w:type="spellEnd"/>
      <w:r>
        <w:t xml:space="preserve"> 1991) e l'ambiguità della transazione e del previsto rimpianto (</w:t>
      </w:r>
      <w:proofErr w:type="spellStart"/>
      <w:r>
        <w:t>Loomes</w:t>
      </w:r>
      <w:proofErr w:type="spellEnd"/>
      <w:r>
        <w:t xml:space="preserve"> e </w:t>
      </w:r>
      <w:proofErr w:type="spellStart"/>
      <w:r>
        <w:t>Sugden</w:t>
      </w:r>
      <w:proofErr w:type="spellEnd"/>
      <w:r>
        <w:t xml:space="preserve"> 1982) sono stati proposti. Nessuno di questi concetti hanno sufficientemente spiegato le differenze osservate negli studi empirici. Le difficoltà di derivando stime imparziali del WTA significa che il WTP è quasi sempre utilizzato, anche se questo sottovaluta WTA e rimane controversa.</w:t>
      </w:r>
    </w:p>
    <w:p w:rsidR="00273D42" w:rsidRDefault="00273D42" w:rsidP="00273D42">
      <w:pPr>
        <w:jc w:val="both"/>
      </w:pPr>
    </w:p>
    <w:p w:rsidR="008D618E" w:rsidRDefault="00273D42" w:rsidP="00273D42">
      <w:pPr>
        <w:jc w:val="both"/>
      </w:pPr>
      <w:r>
        <w:t>Tradotto con www.DeepL.com/Translator (versione gratuita)</w:t>
      </w:r>
    </w:p>
    <w:sectPr w:rsidR="008D618E" w:rsidSect="001C308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C3B"/>
    <w:rsid w:val="000235BA"/>
    <w:rsid w:val="001C3082"/>
    <w:rsid w:val="00273D42"/>
    <w:rsid w:val="005A4580"/>
    <w:rsid w:val="00852D84"/>
    <w:rsid w:val="008D618E"/>
    <w:rsid w:val="009516AB"/>
    <w:rsid w:val="00AB1C3B"/>
    <w:rsid w:val="00AF4C86"/>
    <w:rsid w:val="00B9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225119"/>
  <w14:defaultImageDpi w14:val="32767"/>
  <w15:chartTrackingRefBased/>
  <w15:docId w15:val="{7B1FC0F5-12BA-8F47-9B9B-69CBF14E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1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05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9735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89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8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4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3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3237</Words>
  <Characters>18455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Cavalletti</dc:creator>
  <cp:keywords/>
  <dc:description/>
  <cp:lastModifiedBy>Barbara Cavalletti</cp:lastModifiedBy>
  <cp:revision>5</cp:revision>
  <dcterms:created xsi:type="dcterms:W3CDTF">2020-04-03T21:15:00Z</dcterms:created>
  <dcterms:modified xsi:type="dcterms:W3CDTF">2020-04-08T17:26:00Z</dcterms:modified>
</cp:coreProperties>
</file>